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Design Chief</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2020-21.</w:t>
      </w:r>
    </w:p>
    <w:p w:rsidR="00000000" w:rsidDel="00000000" w:rsidP="00000000" w:rsidRDefault="00000000" w:rsidRPr="00000000" w14:paraId="0000000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Deadline for all materials is noon CST on Friday, April 17, 2020.</w:t>
      </w:r>
    </w:p>
    <w:p w:rsidR="00000000" w:rsidDel="00000000" w:rsidP="00000000" w:rsidRDefault="00000000" w:rsidRPr="00000000" w14:paraId="00000007">
      <w:pPr>
        <w:spacing w:line="240"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Natallie St. Onge at natallie.stonge@marquette.edu.</w:t>
      </w:r>
    </w:p>
    <w:p w:rsidR="00000000" w:rsidDel="00000000" w:rsidP="00000000" w:rsidRDefault="00000000" w:rsidRPr="00000000" w14:paraId="0000000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Design Chief</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of the Marquette Wire oversees and coordinates all design and graphic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Design Chief is expected to provide guidance and feedback to designers of each section. The Design Chief should be knowledgeable in Adobe InDesign, and it is desirable for she/he to be knowledgeable in Adobe Illustrator and Photoshop. The Design Chief is expected to communicate with the Social Media Editor to coordinate graphics and related posts on social media accounts. The Design Chief is also expected to serve as a consultant for in-house advertisements or flyers for the Marquette Wire. Reporting to the Design Chief are the Opinions Designer, A&amp;E Designer and Sports Designer.</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is expected to have extensive, superior knowledge of design and graphics. She/he is responsible for holding weekly desk meetings, recruiting design staff, interviewing and hiring design staff in consultation with executive editors, training design staff and volunteers and overseeing all design and graphic content in the Tribune, Journal, MUTV and Marquette Radio.</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is expected to create and maintain a professional, upbeat learning environment. She/he is expected to have superior organizational and communication skills and is responsible for conflict resolution within the design desk.</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is required to oversee production of the design of the Marquette Tribune and Marquette Journal. The Design Chief is expected to assist in exporting the Tribune and Journal files before sending the files to printers. The Design Chief is expected to create or assist in creating graphics for the Marquette Tribune, the Marquette Journal, MUTV and Marquette Radio if needed. The Design Chief is required to attend Wire all staff meetings and Wire student media training week (typically the week before classes begin).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should be detail-oriented and precise in order to ensure clean design. The Design Chief is expected to maintain a professional reputation in the community.</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leads and motivates the design staff in creating the weekly Tribune and the Journal at designated times throughout the semester.</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Consults on creative elements of the Wire and graphic design work for the Wire.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Creates weekly schedules for designers.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with desk executives on design for their respective sections.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Designs the news section and front page of the Tribune.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Designs the designated section of the Journal as assigned by the Journal managing editor.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with design staff to critique and improve design.</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Arts &amp; Entertainment Designer, Opinions Designer and Sports Designer. The Design Chief should consult executive editors when making hiring decisions for designers of each section.</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Design Chief is required to attend student media training week (typically the week before classes begin).</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Adobe InDesign is required. Knowledge of Adobe Illustrator and Photoshop is desirable.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6">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_______________ </w:t>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A">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Design Chief:</w:t>
      </w:r>
    </w:p>
    <w:p w:rsidR="00000000" w:rsidDel="00000000" w:rsidP="00000000" w:rsidRDefault="00000000" w:rsidRPr="00000000" w14:paraId="0000005E">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6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6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6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